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6D4" w:rsidRDefault="0043166B" w:rsidP="002B21B5">
      <w:pPr>
        <w:tabs>
          <w:tab w:val="left" w:pos="426"/>
        </w:tabs>
        <w:jc w:val="center"/>
        <w:rPr>
          <w:rFonts w:ascii="Calibri" w:hAnsi="Calibri" w:cs="Calibri"/>
          <w:b/>
          <w:noProof/>
        </w:rPr>
      </w:pPr>
      <w:r>
        <w:rPr>
          <w:rFonts w:ascii="Calibri" w:hAnsi="Calibri" w:cs="Calibri"/>
          <w:b/>
          <w:noProof/>
        </w:rPr>
        <w:tab/>
      </w:r>
      <w:r>
        <w:rPr>
          <w:rFonts w:ascii="Calibri" w:hAnsi="Calibri" w:cs="Calibri"/>
          <w:b/>
          <w:noProof/>
        </w:rPr>
        <w:tab/>
      </w:r>
      <w:r>
        <w:rPr>
          <w:rFonts w:ascii="Calibri" w:hAnsi="Calibri" w:cs="Calibri"/>
          <w:b/>
          <w:noProof/>
        </w:rPr>
        <w:tab/>
      </w:r>
      <w:r>
        <w:rPr>
          <w:rFonts w:ascii="Calibri" w:hAnsi="Calibri" w:cs="Calibri"/>
          <w:b/>
          <w:noProof/>
        </w:rPr>
        <w:tab/>
      </w:r>
      <w:r>
        <w:rPr>
          <w:rFonts w:ascii="Calibri" w:hAnsi="Calibri" w:cs="Calibri"/>
          <w:b/>
          <w:noProof/>
        </w:rPr>
        <w:tab/>
      </w:r>
      <w:r>
        <w:rPr>
          <w:rFonts w:ascii="Calibri" w:hAnsi="Calibri" w:cs="Calibri"/>
          <w:b/>
          <w:noProof/>
        </w:rPr>
        <w:tab/>
      </w:r>
      <w:r w:rsidR="002B64A1">
        <w:rPr>
          <w:rFonts w:ascii="Calibri" w:hAnsi="Calibri" w:cs="Calibri"/>
          <w:b/>
          <w:noProof/>
        </w:rPr>
        <w:tab/>
        <w:t>Załącznik nr 1 do Uchwały nr 50</w:t>
      </w:r>
      <w:bookmarkStart w:id="0" w:name="_GoBack"/>
      <w:bookmarkEnd w:id="0"/>
      <w:r>
        <w:rPr>
          <w:rFonts w:ascii="Calibri" w:hAnsi="Calibri" w:cs="Calibri"/>
          <w:b/>
          <w:noProof/>
        </w:rPr>
        <w:t>/2023</w:t>
      </w:r>
      <w:r w:rsidR="00B529FF">
        <w:rPr>
          <w:rFonts w:ascii="Calibri" w:hAnsi="Calibri" w:cs="Calibri"/>
          <w:b/>
          <w:noProof/>
        </w:rPr>
        <w:t xml:space="preserve"> z dnia </w:t>
      </w:r>
      <w:r>
        <w:rPr>
          <w:rFonts w:ascii="Calibri" w:hAnsi="Calibri" w:cs="Calibri"/>
          <w:b/>
          <w:noProof/>
        </w:rPr>
        <w:t>24.05.2023 r.</w:t>
      </w:r>
    </w:p>
    <w:p w:rsidR="00B529FF" w:rsidRDefault="00B529FF" w:rsidP="002B21B5">
      <w:pPr>
        <w:tabs>
          <w:tab w:val="left" w:pos="426"/>
        </w:tabs>
        <w:jc w:val="center"/>
        <w:rPr>
          <w:rFonts w:ascii="Calibri" w:hAnsi="Calibri" w:cs="Calibri"/>
          <w:b/>
          <w:noProof/>
        </w:rPr>
      </w:pPr>
    </w:p>
    <w:p w:rsidR="00B529FF" w:rsidRDefault="00B529FF" w:rsidP="002B21B5">
      <w:pPr>
        <w:tabs>
          <w:tab w:val="left" w:pos="426"/>
        </w:tabs>
        <w:jc w:val="center"/>
        <w:rPr>
          <w:rFonts w:ascii="Calibri" w:hAnsi="Calibri" w:cs="Calibri"/>
          <w:b/>
          <w:noProof/>
        </w:rPr>
      </w:pPr>
    </w:p>
    <w:p w:rsidR="008376D4" w:rsidRDefault="00B529FF" w:rsidP="002B21B5">
      <w:pPr>
        <w:tabs>
          <w:tab w:val="left" w:pos="426"/>
        </w:tabs>
        <w:jc w:val="center"/>
        <w:rPr>
          <w:rFonts w:ascii="Calibri" w:hAnsi="Calibri" w:cs="Calibri"/>
          <w:b/>
          <w:noProof/>
        </w:rPr>
      </w:pPr>
      <w:r>
        <w:rPr>
          <w:noProof/>
          <w:sz w:val="28"/>
        </w:rPr>
        <w:drawing>
          <wp:inline distT="0" distB="0" distL="0" distR="0">
            <wp:extent cx="3013494" cy="609600"/>
            <wp:effectExtent l="0" t="0" r="0" b="0"/>
            <wp:docPr id="1" name="Obraz 1" descr="BS_HALINOW_SGB_logo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BS_HALINOW_SGB_logo_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793" cy="610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21B5" w:rsidRPr="00582D17" w:rsidRDefault="002B21B5" w:rsidP="009A60FF">
      <w:pPr>
        <w:tabs>
          <w:tab w:val="left" w:pos="426"/>
        </w:tabs>
        <w:rPr>
          <w:rFonts w:ascii="Calibri" w:hAnsi="Calibri" w:cs="Calibri"/>
          <w:b/>
          <w:sz w:val="18"/>
        </w:rPr>
      </w:pPr>
    </w:p>
    <w:p w:rsidR="008376D4" w:rsidRDefault="008376D4" w:rsidP="002B21B5">
      <w:pPr>
        <w:jc w:val="center"/>
        <w:rPr>
          <w:rFonts w:ascii="Calibri" w:hAnsi="Calibri" w:cs="Calibri"/>
          <w:b/>
          <w:color w:val="000000"/>
          <w:sz w:val="22"/>
          <w:szCs w:val="18"/>
        </w:rPr>
      </w:pPr>
    </w:p>
    <w:p w:rsidR="00D2721A" w:rsidRPr="009A60FF" w:rsidRDefault="009A60FF" w:rsidP="009A60FF">
      <w:pPr>
        <w:jc w:val="center"/>
        <w:rPr>
          <w:b/>
          <w:sz w:val="24"/>
          <w:szCs w:val="24"/>
        </w:rPr>
      </w:pPr>
      <w:r w:rsidRPr="009A60FF">
        <w:rPr>
          <w:b/>
          <w:sz w:val="24"/>
          <w:szCs w:val="24"/>
        </w:rPr>
        <w:t xml:space="preserve">Oświadczenie o nieuwzględnianiu głównych </w:t>
      </w:r>
      <w:r w:rsidRPr="009A60FF">
        <w:rPr>
          <w:b/>
          <w:color w:val="242424"/>
          <w:sz w:val="24"/>
          <w:szCs w:val="24"/>
          <w:bdr w:val="none" w:sz="0" w:space="0" w:color="auto" w:frame="1"/>
        </w:rPr>
        <w:t>niekorzystnych skutków decyzji inwestycyjnych dla czynników zrównoważonego rozwoju</w:t>
      </w:r>
    </w:p>
    <w:p w:rsidR="002B21B5" w:rsidRPr="00394E1D" w:rsidRDefault="002B21B5">
      <w:pPr>
        <w:rPr>
          <w:rFonts w:eastAsiaTheme="minorEastAsia"/>
          <w:color w:val="242424"/>
          <w:sz w:val="24"/>
          <w:szCs w:val="24"/>
          <w:bdr w:val="none" w:sz="0" w:space="0" w:color="auto" w:frame="1"/>
        </w:rPr>
      </w:pPr>
    </w:p>
    <w:p w:rsidR="002B3F26" w:rsidRPr="002B3F26" w:rsidRDefault="002B3F26" w:rsidP="002B3F26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color w:val="242424"/>
        </w:rPr>
      </w:pPr>
      <w:r w:rsidRPr="00D716C1">
        <w:rPr>
          <w:color w:val="242424"/>
          <w:bdr w:val="none" w:sz="0" w:space="0" w:color="auto" w:frame="1"/>
        </w:rPr>
        <w:t xml:space="preserve">Niniejsze oświadczenie opublikowano celem spełnienia obowiązków informacyjnych wymaganych na podstawie rozporządzenia Parlamentu Europejskiego i Rady (UE) 2019/2088 z dnia 27 listopada 2019 r. w sprawie </w:t>
      </w:r>
      <w:r w:rsidRPr="002B3F26">
        <w:rPr>
          <w:color w:val="242424"/>
          <w:bdr w:val="none" w:sz="0" w:space="0" w:color="auto" w:frame="1"/>
        </w:rPr>
        <w:t>ujawniania</w:t>
      </w:r>
      <w:r w:rsidRPr="00D716C1">
        <w:rPr>
          <w:color w:val="242424"/>
          <w:bdr w:val="none" w:sz="0" w:space="0" w:color="auto" w:frame="1"/>
        </w:rPr>
        <w:t xml:space="preserve"> informacji związanych ze zrównoważonym rozwojem w sektorze usług finansowych (SFDR)</w:t>
      </w:r>
      <w:r w:rsidRPr="008545AC">
        <w:rPr>
          <w:color w:val="242424"/>
          <w:bdr w:val="none" w:sz="0" w:space="0" w:color="auto" w:frame="1"/>
        </w:rPr>
        <w:t xml:space="preserve"> </w:t>
      </w:r>
      <w:r w:rsidRPr="00C46DB3">
        <w:rPr>
          <w:lang w:eastAsia="en-US"/>
        </w:rPr>
        <w:t>oraz rozporządzenia Parlamentu Europejskiego i Rady (UE) 2020/852 z dnia 18 czerwca 2020 r. w sprawie ustanowienia ram ułatwiających zrównoważone inwestycje, zmieniające rozporządzenie (UE) 2019/2088 (</w:t>
      </w:r>
      <w:r w:rsidRPr="002B3F26">
        <w:rPr>
          <w:lang w:eastAsia="en-US"/>
        </w:rPr>
        <w:t>taksonomia).</w:t>
      </w:r>
    </w:p>
    <w:p w:rsidR="002B3F26" w:rsidRPr="002B3F26" w:rsidRDefault="002B3F26" w:rsidP="002B3F26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i/>
          <w:color w:val="242424"/>
        </w:rPr>
      </w:pPr>
      <w:r w:rsidRPr="002B3F26">
        <w:rPr>
          <w:color w:val="242424"/>
          <w:bdr w:val="none" w:sz="0" w:space="0" w:color="auto" w:frame="1"/>
        </w:rPr>
        <w:t> </w:t>
      </w:r>
    </w:p>
    <w:p w:rsidR="002B3F26" w:rsidRPr="00D716C1" w:rsidRDefault="007E2495" w:rsidP="002B3F26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color w:val="242424"/>
          <w:bdr w:val="none" w:sz="0" w:space="0" w:color="auto" w:frame="1"/>
        </w:rPr>
      </w:pPr>
      <w:r>
        <w:rPr>
          <w:i/>
          <w:color w:val="242424"/>
          <w:bdr w:val="none" w:sz="0" w:space="0" w:color="auto" w:frame="1"/>
        </w:rPr>
        <w:t>Bank Spółdzielczy w Halinowie</w:t>
      </w:r>
      <w:r w:rsidR="002B3F26" w:rsidRPr="002B3F26">
        <w:rPr>
          <w:color w:val="242424"/>
          <w:bdr w:val="none" w:sz="0" w:space="0" w:color="auto" w:frame="1"/>
        </w:rPr>
        <w:t xml:space="preserve"> oświadcza, że ja</w:t>
      </w:r>
      <w:r w:rsidR="0085479C">
        <w:rPr>
          <w:color w:val="242424"/>
          <w:bdr w:val="none" w:sz="0" w:space="0" w:color="auto" w:frame="1"/>
        </w:rPr>
        <w:t>ko twórca produktu emerytalnego</w:t>
      </w:r>
      <w:r w:rsidR="0085479C" w:rsidRPr="002B3F26">
        <w:rPr>
          <w:color w:val="242424"/>
          <w:bdr w:val="none" w:sz="0" w:space="0" w:color="auto" w:frame="1"/>
        </w:rPr>
        <w:t xml:space="preserve"> </w:t>
      </w:r>
      <w:r w:rsidR="002B3F26" w:rsidRPr="002B3F26">
        <w:rPr>
          <w:color w:val="242424"/>
          <w:bdr w:val="none" w:sz="0" w:space="0" w:color="auto" w:frame="1"/>
        </w:rPr>
        <w:t>IKZE nie bierze pod uwagę głównych niekorzystnych skutków swoich decyzji inwestycyjnych dla czynników zrównoważonego rozwoju. Jest to wynik oferowania przez Bank produktów eme</w:t>
      </w:r>
      <w:r w:rsidR="0085479C">
        <w:rPr>
          <w:color w:val="242424"/>
          <w:bdr w:val="none" w:sz="0" w:space="0" w:color="auto" w:frame="1"/>
        </w:rPr>
        <w:t>rytalnych</w:t>
      </w:r>
      <w:r w:rsidR="0085479C" w:rsidRPr="002B3F26">
        <w:rPr>
          <w:color w:val="242424"/>
          <w:bdr w:val="none" w:sz="0" w:space="0" w:color="auto" w:frame="1"/>
        </w:rPr>
        <w:t xml:space="preserve"> </w:t>
      </w:r>
      <w:r w:rsidR="002B3F26" w:rsidRPr="002B3F26">
        <w:rPr>
          <w:color w:val="242424"/>
          <w:bdr w:val="none" w:sz="0" w:space="0" w:color="auto" w:frame="1"/>
        </w:rPr>
        <w:t>IKZE w formie rachunku oszczędnościowego, na którym gromadzone są środki pieniężne klienta. Forma oferowanego produktu emerytalnego</w:t>
      </w:r>
      <w:r w:rsidR="002B3F26" w:rsidRPr="00D716C1">
        <w:rPr>
          <w:color w:val="242424"/>
          <w:bdr w:val="none" w:sz="0" w:space="0" w:color="auto" w:frame="1"/>
        </w:rPr>
        <w:t xml:space="preserve"> oraz zakres wykonywanej przez Bank działalności uniemożliwiają aktywne zarządzanie środkami klientów, stąd też produkt nie wprowadza ryzyk dla zrównoważonego rozwoju, o których mowa art. 2 pkt 22 SFDR.</w:t>
      </w:r>
    </w:p>
    <w:p w:rsidR="002B3F26" w:rsidRPr="00D716C1" w:rsidRDefault="002B3F26" w:rsidP="002B3F26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color w:val="242424"/>
          <w:bdr w:val="none" w:sz="0" w:space="0" w:color="auto" w:frame="1"/>
        </w:rPr>
      </w:pPr>
      <w:r w:rsidRPr="00D716C1">
        <w:rPr>
          <w:color w:val="242424"/>
          <w:bdr w:val="none" w:sz="0" w:space="0" w:color="auto" w:frame="1"/>
        </w:rPr>
        <w:t>Inwestycje w ramach tego produktu finansowego nie uwzględniają unijnych kryteriów dotyczących zrównoważonej środowiskowo działalności gospodarczej.</w:t>
      </w:r>
    </w:p>
    <w:p w:rsidR="000B2952" w:rsidRDefault="000B2952" w:rsidP="000B2952">
      <w:pPr>
        <w:pStyle w:val="NormalnyWeb"/>
        <w:shd w:val="clear" w:color="auto" w:fill="FFFFFF"/>
        <w:rPr>
          <w:rFonts w:ascii="Calibri" w:hAnsi="Calibri" w:cs="Calibri"/>
          <w:color w:val="242424"/>
          <w:sz w:val="22"/>
          <w:szCs w:val="22"/>
        </w:rPr>
      </w:pPr>
      <w:r>
        <w:rPr>
          <w:rStyle w:val="xxcontentpasted1"/>
          <w:rFonts w:ascii="Verdana" w:hAnsi="Verdana"/>
          <w:i/>
          <w:iCs/>
          <w:color w:val="242424"/>
          <w:sz w:val="18"/>
          <w:szCs w:val="18"/>
        </w:rPr>
        <w:t> </w:t>
      </w:r>
    </w:p>
    <w:p w:rsidR="002B21B5" w:rsidRDefault="002B21B5"/>
    <w:sectPr w:rsidR="002B21B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1B5" w:rsidRDefault="002B21B5" w:rsidP="002B21B5">
      <w:r>
        <w:separator/>
      </w:r>
    </w:p>
  </w:endnote>
  <w:endnote w:type="continuationSeparator" w:id="0">
    <w:p w:rsidR="002B21B5" w:rsidRDefault="002B21B5" w:rsidP="002B2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1B5" w:rsidRDefault="002B21B5" w:rsidP="002B21B5">
      <w:r>
        <w:separator/>
      </w:r>
    </w:p>
  </w:footnote>
  <w:footnote w:type="continuationSeparator" w:id="0">
    <w:p w:rsidR="002B21B5" w:rsidRDefault="002B21B5" w:rsidP="002B21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0FF" w:rsidRDefault="009A60FF" w:rsidP="00B529FF">
    <w:pPr>
      <w:pStyle w:val="Nagwek"/>
      <w:tabs>
        <w:tab w:val="clear" w:pos="4536"/>
        <w:tab w:val="clear" w:pos="9072"/>
      </w:tabs>
      <w:jc w:val="both"/>
    </w:pPr>
    <w:r>
      <w:t xml:space="preserve">Załącznik nr 11 do Instrukcji otwierania i prowadzenia rachunków oszczędnościowych - Indywidualnych Kont Zabezpieczenia Emerytalnego IKZE  </w:t>
    </w:r>
  </w:p>
  <w:p w:rsidR="002B21B5" w:rsidRDefault="002B21B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markup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1B5"/>
    <w:rsid w:val="000B2952"/>
    <w:rsid w:val="002B21B5"/>
    <w:rsid w:val="002B3F26"/>
    <w:rsid w:val="002B64A1"/>
    <w:rsid w:val="00394E1D"/>
    <w:rsid w:val="003E6E89"/>
    <w:rsid w:val="0043166B"/>
    <w:rsid w:val="00535F4C"/>
    <w:rsid w:val="007E2495"/>
    <w:rsid w:val="008376D4"/>
    <w:rsid w:val="0085479C"/>
    <w:rsid w:val="009A60FF"/>
    <w:rsid w:val="00B529FF"/>
    <w:rsid w:val="00D2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D6E3F"/>
  <w15:chartTrackingRefBased/>
  <w15:docId w15:val="{B381DA68-9CFE-460D-A67E-C124920DF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21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2B21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21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21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21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2B21B5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A60F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A60F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A60FF"/>
    <w:rPr>
      <w:vertAlign w:val="superscript"/>
    </w:rPr>
  </w:style>
  <w:style w:type="character" w:customStyle="1" w:styleId="xxcontentpasted1">
    <w:name w:val="x_x_contentpasted1"/>
    <w:basedOn w:val="Domylnaczcionkaakapitu"/>
    <w:rsid w:val="000B29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93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208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Śmiech</dc:creator>
  <cp:keywords/>
  <dc:description/>
  <cp:lastModifiedBy>TeresaS</cp:lastModifiedBy>
  <cp:revision>11</cp:revision>
  <cp:lastPrinted>2023-05-23T07:56:00Z</cp:lastPrinted>
  <dcterms:created xsi:type="dcterms:W3CDTF">2023-04-24T10:25:00Z</dcterms:created>
  <dcterms:modified xsi:type="dcterms:W3CDTF">2023-05-25T06:11:00Z</dcterms:modified>
</cp:coreProperties>
</file>